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96" w:rsidRDefault="00EC0E96" w:rsidP="00A35641">
      <w:pPr>
        <w:spacing w:after="0"/>
        <w:jc w:val="center"/>
        <w:rPr>
          <w:rFonts w:ascii="Tahoma" w:hAnsi="Tahoma" w:cs="Tahoma"/>
          <w:b/>
          <w:sz w:val="34"/>
          <w:szCs w:val="34"/>
          <w:lang w:val="fr-SN"/>
        </w:rPr>
      </w:pPr>
      <w:r w:rsidRPr="00EC0E96">
        <w:rPr>
          <w:rFonts w:ascii="Tahoma" w:hAnsi="Tahoma" w:cs="Tahoma"/>
          <w:b/>
          <w:sz w:val="34"/>
          <w:szCs w:val="34"/>
          <w:lang w:val="fr-SN"/>
        </w:rPr>
        <w:t xml:space="preserve">Liste des documents devant être produits </w:t>
      </w:r>
    </w:p>
    <w:p w:rsidR="00A35641" w:rsidRDefault="00EC0E96" w:rsidP="00A35641">
      <w:pPr>
        <w:spacing w:after="0"/>
        <w:jc w:val="center"/>
        <w:rPr>
          <w:rFonts w:ascii="Tahoma" w:hAnsi="Tahoma" w:cs="Tahoma"/>
          <w:b/>
          <w:sz w:val="34"/>
          <w:szCs w:val="34"/>
          <w:lang w:val="fr-SN"/>
        </w:rPr>
      </w:pPr>
      <w:r w:rsidRPr="00EC0E96">
        <w:rPr>
          <w:rFonts w:ascii="Tahoma" w:hAnsi="Tahoma" w:cs="Tahoma"/>
          <w:b/>
          <w:sz w:val="34"/>
          <w:szCs w:val="34"/>
          <w:lang w:val="fr-SN"/>
        </w:rPr>
        <w:t>par les demandeurs de visa de court séjour</w:t>
      </w:r>
    </w:p>
    <w:p w:rsidR="00533228" w:rsidRDefault="00D615B8" w:rsidP="00555F31">
      <w:pPr>
        <w:spacing w:after="0"/>
        <w:jc w:val="center"/>
        <w:rPr>
          <w:rFonts w:ascii="Tahoma" w:hAnsi="Tahoma" w:cs="Tahoma"/>
          <w:lang w:val="fr-SN"/>
        </w:rPr>
      </w:pPr>
      <w:r>
        <w:rPr>
          <w:rFonts w:ascii="Tahoma" w:hAnsi="Tahoma" w:cs="Tahoma"/>
          <w:lang w:val="fr-SN"/>
        </w:rPr>
        <w:t>(</w:t>
      </w:r>
      <w:r w:rsidR="00533228" w:rsidRPr="00A35641">
        <w:rPr>
          <w:rFonts w:ascii="Tahoma" w:hAnsi="Tahoma" w:cs="Tahoma"/>
          <w:lang w:val="fr-SN"/>
        </w:rPr>
        <w:t xml:space="preserve">originaux et copies </w:t>
      </w:r>
      <w:r w:rsidR="00505071" w:rsidRPr="00A35641">
        <w:rPr>
          <w:rFonts w:ascii="Tahoma" w:hAnsi="Tahoma" w:cs="Tahoma"/>
          <w:lang w:val="fr-SN"/>
        </w:rPr>
        <w:t>certifiées, le cas échéant</w:t>
      </w:r>
      <w:r>
        <w:rPr>
          <w:rFonts w:ascii="Tahoma" w:hAnsi="Tahoma" w:cs="Tahoma"/>
          <w:lang w:val="fr-SN"/>
        </w:rPr>
        <w:t>)</w:t>
      </w:r>
      <w:r w:rsidR="00555F31">
        <w:rPr>
          <w:rFonts w:ascii="Tahoma" w:hAnsi="Tahoma" w:cs="Tahoma"/>
          <w:lang w:val="fr-SN"/>
        </w:rPr>
        <w:t> </w:t>
      </w:r>
    </w:p>
    <w:p w:rsidR="00555F31" w:rsidRDefault="00555F31" w:rsidP="00555F31">
      <w:pPr>
        <w:spacing w:after="0"/>
        <w:jc w:val="center"/>
        <w:rPr>
          <w:rFonts w:ascii="Tahoma" w:hAnsi="Tahoma" w:cs="Tahoma"/>
          <w:lang w:val="fr-SN"/>
        </w:rPr>
      </w:pPr>
    </w:p>
    <w:p w:rsidR="00671F49" w:rsidRDefault="00671F49" w:rsidP="00A35641">
      <w:pPr>
        <w:spacing w:after="0"/>
        <w:jc w:val="both"/>
        <w:rPr>
          <w:rFonts w:ascii="Tahoma" w:hAnsi="Tahoma" w:cs="Tahoma"/>
          <w:lang w:val="fr-SN"/>
        </w:rPr>
      </w:pPr>
    </w:p>
    <w:p w:rsidR="00953A28" w:rsidRDefault="00953A28" w:rsidP="00A35641">
      <w:pPr>
        <w:spacing w:after="0"/>
        <w:jc w:val="both"/>
        <w:rPr>
          <w:rFonts w:ascii="Tahoma" w:hAnsi="Tahoma" w:cs="Tahoma"/>
          <w:lang w:val="fr-SN"/>
        </w:rPr>
      </w:pPr>
    </w:p>
    <w:p w:rsidR="002F27B3" w:rsidRDefault="002F27B3" w:rsidP="00A35641">
      <w:pPr>
        <w:spacing w:after="0"/>
        <w:jc w:val="both"/>
        <w:rPr>
          <w:rFonts w:ascii="Tahoma" w:hAnsi="Tahoma" w:cs="Tahoma"/>
          <w:lang w:val="fr-SN"/>
        </w:rPr>
      </w:pPr>
    </w:p>
    <w:p w:rsidR="00EC0E96" w:rsidRPr="00A35641" w:rsidRDefault="00EC0E96" w:rsidP="00317EEC">
      <w:pPr>
        <w:numPr>
          <w:ilvl w:val="0"/>
          <w:numId w:val="6"/>
        </w:numPr>
        <w:ind w:left="284" w:hanging="284"/>
        <w:jc w:val="both"/>
        <w:rPr>
          <w:rFonts w:ascii="Tahoma" w:hAnsi="Tahoma" w:cs="Tahoma"/>
          <w:lang w:val="fr-SN"/>
        </w:rPr>
      </w:pPr>
      <w:r w:rsidRPr="00A35641">
        <w:rPr>
          <w:rFonts w:ascii="Tahoma" w:hAnsi="Tahoma" w:cs="Tahoma"/>
          <w:lang w:val="fr-SN"/>
        </w:rPr>
        <w:t>Formulaire de demande totalement rempli, daté et signé ; et</w:t>
      </w:r>
      <w:r w:rsidR="00A14285">
        <w:rPr>
          <w:rFonts w:ascii="Tahoma" w:hAnsi="Tahoma" w:cs="Tahoma"/>
          <w:lang w:val="fr-SN"/>
        </w:rPr>
        <w:t xml:space="preserve"> </w:t>
      </w:r>
    </w:p>
    <w:p w:rsidR="00FD52BD" w:rsidRPr="00A35641" w:rsidRDefault="00EF25B6" w:rsidP="00317EEC">
      <w:pPr>
        <w:numPr>
          <w:ilvl w:val="0"/>
          <w:numId w:val="6"/>
        </w:numPr>
        <w:ind w:left="284" w:hanging="284"/>
        <w:jc w:val="both"/>
        <w:rPr>
          <w:rFonts w:ascii="Tahoma" w:hAnsi="Tahoma" w:cs="Tahoma"/>
          <w:lang w:val="fr-SN"/>
        </w:rPr>
      </w:pPr>
      <w:r w:rsidRPr="00A35641">
        <w:rPr>
          <w:rFonts w:ascii="Tahoma" w:hAnsi="Tahoma" w:cs="Tahoma"/>
          <w:lang w:val="fr-SN"/>
        </w:rPr>
        <w:t>Document de voyage délivré depuis moins de 10 ans, valide au moins trois mois après la date prévue du retour et comportant au minimum deux pages vierges ; et</w:t>
      </w:r>
    </w:p>
    <w:p w:rsidR="00EF25B6" w:rsidRPr="00476A5C" w:rsidRDefault="00EF25B6" w:rsidP="00317EEC">
      <w:pPr>
        <w:numPr>
          <w:ilvl w:val="0"/>
          <w:numId w:val="6"/>
        </w:numPr>
        <w:ind w:left="284" w:hanging="284"/>
        <w:jc w:val="both"/>
        <w:rPr>
          <w:rFonts w:ascii="Tahoma" w:hAnsi="Tahoma" w:cs="Tahoma"/>
          <w:lang w:val="fr-SN"/>
        </w:rPr>
      </w:pPr>
      <w:r w:rsidRPr="00A35641">
        <w:rPr>
          <w:rFonts w:ascii="Tahoma" w:hAnsi="Tahoma" w:cs="Tahoma"/>
          <w:lang w:val="fr-SN"/>
        </w:rPr>
        <w:t xml:space="preserve">Photographie d'identité </w:t>
      </w:r>
      <w:r w:rsidRPr="00A35641">
        <w:rPr>
          <w:rFonts w:ascii="Tahoma" w:hAnsi="Tahoma" w:cs="Tahoma"/>
          <w:color w:val="000000"/>
          <w:shd w:val="clear" w:color="auto" w:fill="FFFFFF"/>
          <w:lang w:val="fr-SN"/>
        </w:rPr>
        <w:t>conformément aux normes fixées à l’article 13 du Règlement (CE) n º 810/2009, du Parlement Européen et du Conseil, du 13 juillet 2009 (Code des Visas) ; et</w:t>
      </w:r>
    </w:p>
    <w:p w:rsidR="00476A5C" w:rsidRDefault="00476A5C" w:rsidP="00317EEC">
      <w:pPr>
        <w:numPr>
          <w:ilvl w:val="0"/>
          <w:numId w:val="6"/>
        </w:numPr>
        <w:ind w:left="284" w:hanging="284"/>
        <w:jc w:val="both"/>
        <w:rPr>
          <w:rFonts w:ascii="Tahoma" w:hAnsi="Tahoma" w:cs="Tahoma"/>
          <w:lang w:val="fr-SN"/>
        </w:rPr>
      </w:pPr>
      <w:r w:rsidRPr="002F27B3">
        <w:rPr>
          <w:rFonts w:ascii="Tahoma" w:hAnsi="Tahoma" w:cs="Tahoma"/>
          <w:lang w:val="fr-SN"/>
        </w:rPr>
        <w:t>Photocopies de toutes les pages du passeport en cours (et de celles figurant des visas sur les anciens passeports)</w:t>
      </w:r>
      <w:r w:rsidR="00624271">
        <w:rPr>
          <w:rFonts w:ascii="Tahoma" w:hAnsi="Tahoma" w:cs="Tahoma"/>
          <w:lang w:val="fr-SN"/>
        </w:rPr>
        <w:t xml:space="preserve"> </w:t>
      </w:r>
      <w:r w:rsidRPr="002F27B3">
        <w:rPr>
          <w:rFonts w:ascii="Tahoma" w:hAnsi="Tahoma" w:cs="Tahoma"/>
          <w:lang w:val="fr-SN"/>
        </w:rPr>
        <w:t xml:space="preserve">; et </w:t>
      </w:r>
    </w:p>
    <w:p w:rsidR="00476A5C" w:rsidRDefault="00476A5C" w:rsidP="00317EEC">
      <w:pPr>
        <w:numPr>
          <w:ilvl w:val="0"/>
          <w:numId w:val="6"/>
        </w:numPr>
        <w:ind w:left="284" w:hanging="284"/>
        <w:jc w:val="both"/>
        <w:rPr>
          <w:rFonts w:ascii="Tahoma" w:hAnsi="Tahoma" w:cs="Tahoma"/>
          <w:lang w:val="fr-SN"/>
        </w:rPr>
      </w:pPr>
      <w:r w:rsidRPr="002F27B3">
        <w:rPr>
          <w:rFonts w:ascii="Tahoma" w:hAnsi="Tahoma" w:cs="Tahoma"/>
          <w:lang w:val="fr-SN"/>
        </w:rPr>
        <w:t>Preuve de réservation d’un billet d’avion aller-retour</w:t>
      </w:r>
      <w:r w:rsidR="00624271">
        <w:rPr>
          <w:rFonts w:ascii="Tahoma" w:hAnsi="Tahoma" w:cs="Tahoma"/>
          <w:lang w:val="fr-SN"/>
        </w:rPr>
        <w:t xml:space="preserve"> </w:t>
      </w:r>
      <w:r w:rsidRPr="002F27B3">
        <w:rPr>
          <w:rFonts w:ascii="Tahoma" w:hAnsi="Tahoma" w:cs="Tahoma"/>
          <w:lang w:val="fr-SN"/>
        </w:rPr>
        <w:t>; et</w:t>
      </w:r>
    </w:p>
    <w:p w:rsidR="00E42C38" w:rsidRDefault="00317EEC" w:rsidP="00317EEC">
      <w:pPr>
        <w:numPr>
          <w:ilvl w:val="0"/>
          <w:numId w:val="6"/>
        </w:numPr>
        <w:ind w:left="284" w:hanging="284"/>
        <w:jc w:val="both"/>
        <w:rPr>
          <w:rFonts w:ascii="Tahoma" w:hAnsi="Tahoma" w:cs="Tahoma"/>
          <w:lang w:val="fr-SN"/>
        </w:rPr>
      </w:pPr>
      <w:r>
        <w:rPr>
          <w:rFonts w:ascii="Tahoma" w:hAnsi="Tahoma" w:cs="Tahoma"/>
          <w:lang w:val="fr-SN"/>
        </w:rPr>
        <w:t>L</w:t>
      </w:r>
      <w:r w:rsidR="00476A5C" w:rsidRPr="00C322D5">
        <w:rPr>
          <w:rFonts w:ascii="Tahoma" w:hAnsi="Tahoma" w:cs="Tahoma"/>
          <w:lang w:val="fr-SN"/>
        </w:rPr>
        <w:t>es documents justificatifs</w:t>
      </w:r>
      <w:r w:rsidR="001B2727">
        <w:rPr>
          <w:rFonts w:ascii="Tahoma" w:hAnsi="Tahoma" w:cs="Tahoma"/>
          <w:lang w:val="fr-SN"/>
        </w:rPr>
        <w:t> :</w:t>
      </w:r>
    </w:p>
    <w:p w:rsidR="00624271" w:rsidRPr="00E60FE0" w:rsidRDefault="00624271" w:rsidP="00624271">
      <w:pPr>
        <w:numPr>
          <w:ilvl w:val="1"/>
          <w:numId w:val="6"/>
        </w:numPr>
        <w:jc w:val="both"/>
        <w:rPr>
          <w:rFonts w:ascii="Tahoma" w:hAnsi="Tahoma" w:cs="Tahoma"/>
          <w:lang w:val="fr-SN"/>
        </w:rPr>
      </w:pPr>
      <w:r>
        <w:rPr>
          <w:rFonts w:ascii="Tahoma" w:hAnsi="Tahoma" w:cs="Tahoma"/>
          <w:lang w:val="fr-SN"/>
        </w:rPr>
        <w:t>définies par</w:t>
      </w:r>
      <w:r w:rsidRPr="00C322D5">
        <w:rPr>
          <w:rFonts w:ascii="Tahoma" w:hAnsi="Tahoma" w:cs="Tahoma"/>
          <w:lang w:val="fr-SN"/>
        </w:rPr>
        <w:t xml:space="preserve"> la décision d'exécution de la Commission </w:t>
      </w:r>
      <w:r>
        <w:rPr>
          <w:rFonts w:ascii="Tahoma" w:hAnsi="Tahoma" w:cs="Tahoma"/>
          <w:lang w:val="fr-SN"/>
        </w:rPr>
        <w:t xml:space="preserve">Européenne </w:t>
      </w:r>
      <w:r w:rsidRPr="00C322D5">
        <w:rPr>
          <w:rFonts w:ascii="Tahoma" w:hAnsi="Tahoma" w:cs="Tahoma"/>
          <w:lang w:val="fr-SN"/>
        </w:rPr>
        <w:t xml:space="preserve">établissant la liste des documents justificatifs devant être produits par les demandeurs de visa de court séjour au Sénégal </w:t>
      </w:r>
      <w:r w:rsidRPr="0047400C">
        <w:rPr>
          <w:rFonts w:ascii="Tahoma" w:hAnsi="Tahoma" w:cs="Tahoma"/>
          <w:lang w:val="fr-SN"/>
        </w:rPr>
        <w:t xml:space="preserve">(C(2019) 3271, 6/5/2019) ; </w:t>
      </w:r>
    </w:p>
    <w:p w:rsidR="001A0021" w:rsidRDefault="00E60FE0" w:rsidP="00E60FE0">
      <w:pPr>
        <w:numPr>
          <w:ilvl w:val="1"/>
          <w:numId w:val="6"/>
        </w:numPr>
        <w:jc w:val="both"/>
        <w:rPr>
          <w:rFonts w:ascii="Tahoma" w:hAnsi="Tahoma" w:cs="Tahoma"/>
          <w:lang w:val="fr-SN"/>
        </w:rPr>
      </w:pPr>
      <w:r>
        <w:rPr>
          <w:rFonts w:ascii="Tahoma" w:hAnsi="Tahoma" w:cs="Tahoma"/>
          <w:lang w:val="fr-SN"/>
        </w:rPr>
        <w:t>l</w:t>
      </w:r>
      <w:r w:rsidRPr="00E42C38">
        <w:rPr>
          <w:rFonts w:ascii="Tahoma" w:hAnsi="Tahoma" w:cs="Tahoma"/>
          <w:lang w:val="fr-SN"/>
        </w:rPr>
        <w:t xml:space="preserve">e </w:t>
      </w:r>
      <w:r w:rsidRPr="00E42C38">
        <w:rPr>
          <w:rFonts w:ascii="Tahoma" w:hAnsi="Tahoma" w:cs="Tahoma"/>
          <w:i/>
          <w:lang w:val="fr-SN"/>
        </w:rPr>
        <w:t>Questionnaire initial pour le demandeur de visa</w:t>
      </w:r>
      <w:r w:rsidRPr="00E42C38">
        <w:rPr>
          <w:rFonts w:ascii="Tahoma" w:hAnsi="Tahoma" w:cs="Tahoma"/>
          <w:lang w:val="fr-SN"/>
        </w:rPr>
        <w:t xml:space="preserve"> peut, si vo</w:t>
      </w:r>
      <w:r>
        <w:rPr>
          <w:rFonts w:ascii="Tahoma" w:hAnsi="Tahoma" w:cs="Tahoma"/>
          <w:lang w:val="fr-SN"/>
        </w:rPr>
        <w:t>u</w:t>
      </w:r>
      <w:r w:rsidR="00624271">
        <w:rPr>
          <w:rFonts w:ascii="Tahoma" w:hAnsi="Tahoma" w:cs="Tahoma"/>
          <w:lang w:val="fr-SN"/>
        </w:rPr>
        <w:t>s le souhaitez, vous aider ici ; et</w:t>
      </w:r>
    </w:p>
    <w:p w:rsidR="0021587E" w:rsidRDefault="002B6ABD" w:rsidP="0021587E">
      <w:pPr>
        <w:numPr>
          <w:ilvl w:val="0"/>
          <w:numId w:val="6"/>
        </w:numPr>
        <w:ind w:left="284" w:hanging="284"/>
        <w:jc w:val="both"/>
        <w:rPr>
          <w:rFonts w:ascii="Tahoma" w:hAnsi="Tahoma" w:cs="Tahoma"/>
          <w:lang w:val="fr-SN"/>
        </w:rPr>
      </w:pPr>
      <w:r>
        <w:rPr>
          <w:rFonts w:ascii="Tahoma" w:hAnsi="Tahoma" w:cs="Tahoma"/>
          <w:lang w:val="fr-SN"/>
        </w:rPr>
        <w:t>A</w:t>
      </w:r>
      <w:r w:rsidR="00BD468F" w:rsidRPr="00A35641">
        <w:rPr>
          <w:rFonts w:ascii="Tahoma" w:hAnsi="Tahoma" w:cs="Tahoma"/>
          <w:lang w:val="fr-SN"/>
        </w:rPr>
        <w:t xml:space="preserve">ttestation d'assurance médicale de voyage </w:t>
      </w:r>
      <w:r w:rsidR="00BD468F" w:rsidRPr="00A35641">
        <w:rPr>
          <w:rFonts w:ascii="Tahoma" w:hAnsi="Tahoma" w:cs="Tahoma"/>
          <w:color w:val="000000"/>
          <w:shd w:val="clear" w:color="auto" w:fill="FFFFFF"/>
          <w:lang w:val="fr-SN"/>
        </w:rPr>
        <w:t>conformément aux normes fixées à l’article 15 du Code des Visas</w:t>
      </w:r>
      <w:r w:rsidR="00BD468F">
        <w:rPr>
          <w:rFonts w:ascii="Tahoma" w:hAnsi="Tahoma" w:cs="Tahoma"/>
          <w:lang w:val="fr-SN"/>
        </w:rPr>
        <w:t>, l</w:t>
      </w:r>
      <w:r w:rsidR="00125377" w:rsidRPr="00A35641">
        <w:rPr>
          <w:rFonts w:ascii="Tahoma" w:hAnsi="Tahoma" w:cs="Tahoma"/>
          <w:lang w:val="fr-SN"/>
        </w:rPr>
        <w:t>e cas échéant</w:t>
      </w:r>
      <w:r w:rsidR="001B2727">
        <w:rPr>
          <w:rFonts w:ascii="Tahoma" w:hAnsi="Tahoma" w:cs="Tahoma"/>
          <w:lang w:val="fr-SN"/>
        </w:rPr>
        <w:t> ; et</w:t>
      </w:r>
    </w:p>
    <w:p w:rsidR="00476A5C" w:rsidRPr="0021587E" w:rsidRDefault="0021587E" w:rsidP="0021587E">
      <w:pPr>
        <w:numPr>
          <w:ilvl w:val="0"/>
          <w:numId w:val="6"/>
        </w:numPr>
        <w:ind w:left="284" w:hanging="284"/>
        <w:jc w:val="both"/>
        <w:rPr>
          <w:rFonts w:ascii="Tahoma" w:hAnsi="Tahoma" w:cs="Tahoma"/>
          <w:lang w:val="fr-SN"/>
        </w:rPr>
      </w:pPr>
      <w:r>
        <w:rPr>
          <w:rFonts w:ascii="Tahoma" w:hAnsi="Tahoma" w:cs="Tahoma"/>
          <w:lang w:val="fr-SN"/>
        </w:rPr>
        <w:t xml:space="preserve">La </w:t>
      </w:r>
      <w:r w:rsidRPr="00580F7C">
        <w:rPr>
          <w:rFonts w:ascii="Tahoma" w:hAnsi="Tahoma" w:cs="Tahoma"/>
          <w:lang w:val="fr-SN"/>
        </w:rPr>
        <w:t>carte d'étranger au Sénégal</w:t>
      </w:r>
      <w:r>
        <w:rPr>
          <w:rStyle w:val="Refdenotaderodap"/>
          <w:rFonts w:ascii="Tahoma" w:hAnsi="Tahoma" w:cs="Tahoma"/>
          <w:lang w:val="fr-SN"/>
        </w:rPr>
        <w:footnoteReference w:id="2"/>
      </w:r>
      <w:r>
        <w:rPr>
          <w:rFonts w:ascii="Tahoma" w:hAnsi="Tahoma" w:cs="Tahoma"/>
          <w:lang w:val="fr-SN"/>
        </w:rPr>
        <w:t>, pour les r</w:t>
      </w:r>
      <w:r w:rsidRPr="00580F7C">
        <w:rPr>
          <w:rFonts w:ascii="Tahoma" w:hAnsi="Tahoma" w:cs="Tahoma"/>
          <w:lang w:val="fr-SN"/>
        </w:rPr>
        <w:t>essortissants non sénégalais</w:t>
      </w:r>
      <w:r>
        <w:rPr>
          <w:rFonts w:ascii="Tahoma" w:hAnsi="Tahoma" w:cs="Tahoma"/>
          <w:lang w:val="fr-SN"/>
        </w:rPr>
        <w:t> l</w:t>
      </w:r>
      <w:r w:rsidRPr="00A35641">
        <w:rPr>
          <w:rFonts w:ascii="Tahoma" w:hAnsi="Tahoma" w:cs="Tahoma"/>
          <w:lang w:val="fr-SN"/>
        </w:rPr>
        <w:t>e cas échéant</w:t>
      </w:r>
      <w:r>
        <w:rPr>
          <w:rStyle w:val="Refdenotaderodap"/>
          <w:rFonts w:ascii="Tahoma" w:hAnsi="Tahoma" w:cs="Tahoma"/>
          <w:lang w:val="fr-SN"/>
        </w:rPr>
        <w:footnoteReference w:id="3"/>
      </w:r>
      <w:r>
        <w:rPr>
          <w:rFonts w:ascii="Tahoma" w:hAnsi="Tahoma" w:cs="Tahoma"/>
          <w:lang w:val="fr-SN"/>
        </w:rPr>
        <w:t>.</w:t>
      </w:r>
    </w:p>
    <w:sectPr w:rsidR="00476A5C" w:rsidRPr="0021587E" w:rsidSect="009744A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68" w:rsidRDefault="00D67068" w:rsidP="008D647D">
      <w:pPr>
        <w:spacing w:after="0" w:line="240" w:lineRule="auto"/>
      </w:pPr>
      <w:r>
        <w:separator/>
      </w:r>
    </w:p>
  </w:endnote>
  <w:endnote w:type="continuationSeparator" w:id="1">
    <w:p w:rsidR="00D67068" w:rsidRDefault="00D67068" w:rsidP="008D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D5" w:rsidRDefault="00767C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id w:val="90153032"/>
      <w:docPartObj>
        <w:docPartGallery w:val="Page Numbers (Bottom of Page)"/>
        <w:docPartUnique/>
      </w:docPartObj>
    </w:sdtPr>
    <w:sdtContent>
      <w:sdt>
        <w:sdtPr>
          <w:rPr>
            <w:lang w:val="fr-FR"/>
          </w:rPr>
          <w:id w:val="1389081701"/>
          <w:docPartObj>
            <w:docPartGallery w:val="Page Numbers (Top of Page)"/>
            <w:docPartUnique/>
          </w:docPartObj>
        </w:sdtPr>
        <w:sdtContent>
          <w:p w:rsidR="0095278B" w:rsidRPr="00767CD5" w:rsidRDefault="0095278B" w:rsidP="0095278B">
            <w:pPr>
              <w:pStyle w:val="Rodap"/>
              <w:jc w:val="center"/>
            </w:pPr>
            <w:r w:rsidRPr="005A44D2">
              <w:t xml:space="preserve">Page </w:t>
            </w:r>
            <w:r w:rsidR="00641F31" w:rsidRPr="00F5439D">
              <w:rPr>
                <w:b/>
                <w:sz w:val="24"/>
                <w:szCs w:val="24"/>
                <w:lang w:val="fr-FR"/>
              </w:rPr>
              <w:fldChar w:fldCharType="begin"/>
            </w:r>
            <w:r w:rsidRPr="005A44D2">
              <w:rPr>
                <w:b/>
              </w:rPr>
              <w:instrText>PAGE</w:instrText>
            </w:r>
            <w:r w:rsidR="00641F31" w:rsidRPr="00F5439D">
              <w:rPr>
                <w:b/>
                <w:sz w:val="24"/>
                <w:szCs w:val="24"/>
                <w:lang w:val="fr-FR"/>
              </w:rPr>
              <w:fldChar w:fldCharType="separate"/>
            </w:r>
            <w:r w:rsidR="007C50CB">
              <w:rPr>
                <w:b/>
                <w:noProof/>
              </w:rPr>
              <w:t>1</w:t>
            </w:r>
            <w:r w:rsidR="00641F31" w:rsidRPr="00F5439D">
              <w:rPr>
                <w:b/>
                <w:sz w:val="24"/>
                <w:szCs w:val="24"/>
                <w:lang w:val="fr-FR"/>
              </w:rPr>
              <w:fldChar w:fldCharType="end"/>
            </w:r>
            <w:r w:rsidRPr="005A44D2">
              <w:t xml:space="preserve"> de </w:t>
            </w:r>
            <w:r w:rsidR="00641F31" w:rsidRPr="00F5439D">
              <w:rPr>
                <w:b/>
                <w:sz w:val="24"/>
                <w:szCs w:val="24"/>
                <w:lang w:val="fr-FR"/>
              </w:rPr>
              <w:fldChar w:fldCharType="begin"/>
            </w:r>
            <w:r w:rsidRPr="005A44D2">
              <w:rPr>
                <w:b/>
              </w:rPr>
              <w:instrText>NUMPAGES</w:instrText>
            </w:r>
            <w:r w:rsidR="00641F31" w:rsidRPr="00F5439D">
              <w:rPr>
                <w:b/>
                <w:sz w:val="24"/>
                <w:szCs w:val="24"/>
                <w:lang w:val="fr-FR"/>
              </w:rPr>
              <w:fldChar w:fldCharType="separate"/>
            </w:r>
            <w:r w:rsidR="001E231B">
              <w:rPr>
                <w:b/>
                <w:noProof/>
              </w:rPr>
              <w:t>1</w:t>
            </w:r>
            <w:r w:rsidR="00641F31" w:rsidRPr="00F5439D">
              <w:rPr>
                <w:b/>
                <w:sz w:val="24"/>
                <w:szCs w:val="24"/>
                <w:lang w:val="fr-FR"/>
              </w:rPr>
              <w:fldChar w:fldCharType="end"/>
            </w:r>
          </w:p>
        </w:sdtContent>
      </w:sdt>
    </w:sdtContent>
  </w:sdt>
  <w:p w:rsidR="0095278B" w:rsidRPr="00767CD5" w:rsidRDefault="00567A2D" w:rsidP="00767CD5">
    <w:pPr>
      <w:spacing w:after="0"/>
      <w:jc w:val="center"/>
      <w:rPr>
        <w:rFonts w:ascii="Tahoma" w:hAnsi="Tahoma" w:cs="Tahoma"/>
        <w:b/>
        <w:sz w:val="12"/>
        <w:szCs w:val="12"/>
      </w:rPr>
    </w:pPr>
    <w:r>
      <w:rPr>
        <w:rFonts w:ascii="Tahoma" w:hAnsi="Tahoma" w:cs="Tahoma"/>
        <w:b/>
        <w:sz w:val="12"/>
        <w:szCs w:val="12"/>
      </w:rPr>
      <w:t xml:space="preserve">26OCT2019 </w:t>
    </w:r>
    <w:r w:rsidR="00767CD5">
      <w:rPr>
        <w:rFonts w:ascii="Tahoma" w:hAnsi="Tahoma" w:cs="Tahoma"/>
        <w:b/>
        <w:sz w:val="12"/>
        <w:szCs w:val="12"/>
      </w:rPr>
      <w:t xml:space="preserve">- DaVISTO </w:t>
    </w:r>
    <w:r w:rsidR="00767CD5">
      <w:rPr>
        <w:rFonts w:ascii="Tahoma" w:hAnsi="Tahoma" w:cs="Tahoma"/>
        <w:sz w:val="12"/>
        <w:szCs w:val="12"/>
      </w:rPr>
      <w:t>Sistema integrado de processamento de vistos dos Serviços da Secção Consular da Embaixada de Portugal em Dakar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D5" w:rsidRDefault="00767C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68" w:rsidRDefault="00D67068" w:rsidP="008D647D">
      <w:pPr>
        <w:spacing w:after="0" w:line="240" w:lineRule="auto"/>
      </w:pPr>
      <w:r>
        <w:separator/>
      </w:r>
    </w:p>
  </w:footnote>
  <w:footnote w:type="continuationSeparator" w:id="1">
    <w:p w:rsidR="00D67068" w:rsidRDefault="00D67068" w:rsidP="008D647D">
      <w:pPr>
        <w:spacing w:after="0" w:line="240" w:lineRule="auto"/>
      </w:pPr>
      <w:r>
        <w:continuationSeparator/>
      </w:r>
    </w:p>
  </w:footnote>
  <w:footnote w:id="2">
    <w:p w:rsidR="0021587E" w:rsidRPr="00580F7C" w:rsidRDefault="0021587E" w:rsidP="0021587E">
      <w:pPr>
        <w:pStyle w:val="Textodenotaderodap"/>
        <w:spacing w:after="0"/>
        <w:rPr>
          <w:lang w:val="fr-FR"/>
        </w:rPr>
      </w:pPr>
      <w:r>
        <w:rPr>
          <w:rStyle w:val="Refdenotaderodap"/>
        </w:rPr>
        <w:footnoteRef/>
      </w:r>
      <w:r w:rsidRPr="00580F7C">
        <w:rPr>
          <w:lang w:val="fr-FR"/>
        </w:rPr>
        <w:t xml:space="preserve"> </w:t>
      </w:r>
      <w:r>
        <w:rPr>
          <w:lang w:val="fr-FR"/>
        </w:rPr>
        <w:t>O</w:t>
      </w:r>
      <w:r w:rsidRPr="00580F7C">
        <w:rPr>
          <w:lang w:val="fr-FR"/>
        </w:rPr>
        <w:t xml:space="preserve">u </w:t>
      </w:r>
      <w:r w:rsidRPr="00FC4DED">
        <w:rPr>
          <w:lang w:val="fr-FR"/>
        </w:rPr>
        <w:t>un titre de séjour sénégalais ou une attestation équivalente de résidence légale de longue durée au Sénégal, valable au moins trois mois après le départ du demandeur de l’État membre de destination, ou preuve qu’une demande de renouvellement du permis de long séjour a été introduite.</w:t>
      </w:r>
    </w:p>
  </w:footnote>
  <w:footnote w:id="3">
    <w:p w:rsidR="0021587E" w:rsidRPr="00580F7C" w:rsidRDefault="0021587E" w:rsidP="0021587E">
      <w:pPr>
        <w:pStyle w:val="Textodenotaderodap"/>
        <w:spacing w:after="0"/>
        <w:rPr>
          <w:lang w:val="fr-FR"/>
        </w:rPr>
      </w:pPr>
      <w:r>
        <w:rPr>
          <w:rStyle w:val="Refdenotaderodap"/>
        </w:rPr>
        <w:footnoteRef/>
      </w:r>
      <w:r w:rsidRPr="00580F7C">
        <w:rPr>
          <w:lang w:val="fr-FR"/>
        </w:rPr>
        <w:t xml:space="preserve"> Non obligatoire si vous portez un document de voyage délivré par les autorités Gambiennes, Libériennes, Sénégalaises ou Sierra-Léonaises </w:t>
      </w:r>
      <w:r w:rsidRPr="00580F7C">
        <w:rPr>
          <w:b/>
          <w:lang w:val="fr-FR"/>
        </w:rPr>
        <w:t>et</w:t>
      </w:r>
      <w:r w:rsidRPr="00580F7C">
        <w:rPr>
          <w:lang w:val="fr-FR"/>
        </w:rPr>
        <w:t xml:space="preserve"> habitez au/en Gambie, Liberia, Sénégal ou Sierra Leone.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D5" w:rsidRDefault="00767C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41" w:rsidRDefault="00A3564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D5" w:rsidRDefault="00767C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AD8"/>
    <w:multiLevelType w:val="hybridMultilevel"/>
    <w:tmpl w:val="FD8C995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3837967"/>
    <w:multiLevelType w:val="hybridMultilevel"/>
    <w:tmpl w:val="DF428ABA"/>
    <w:lvl w:ilvl="0" w:tplc="4CB4E31A">
      <w:start w:val="4"/>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6751991"/>
    <w:multiLevelType w:val="multilevel"/>
    <w:tmpl w:val="01B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726A1"/>
    <w:multiLevelType w:val="hybridMultilevel"/>
    <w:tmpl w:val="41468C1E"/>
    <w:lvl w:ilvl="0" w:tplc="F828A158">
      <w:start w:val="4"/>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75E42BE"/>
    <w:multiLevelType w:val="hybridMultilevel"/>
    <w:tmpl w:val="FD8C99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DA7746A"/>
    <w:multiLevelType w:val="multilevel"/>
    <w:tmpl w:val="B0B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E19E5"/>
    <w:multiLevelType w:val="hybridMultilevel"/>
    <w:tmpl w:val="18D85A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706A6A8E"/>
    <w:multiLevelType w:val="hybridMultilevel"/>
    <w:tmpl w:val="2CC857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7CF109CA"/>
    <w:multiLevelType w:val="hybridMultilevel"/>
    <w:tmpl w:val="686689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12E3F"/>
    <w:rsid w:val="00003EB8"/>
    <w:rsid w:val="00020555"/>
    <w:rsid w:val="000325AC"/>
    <w:rsid w:val="000503D0"/>
    <w:rsid w:val="00072715"/>
    <w:rsid w:val="000729A8"/>
    <w:rsid w:val="000906F4"/>
    <w:rsid w:val="000B15F7"/>
    <w:rsid w:val="000B4D88"/>
    <w:rsid w:val="000B6150"/>
    <w:rsid w:val="000C0890"/>
    <w:rsid w:val="001058B6"/>
    <w:rsid w:val="00107F24"/>
    <w:rsid w:val="00112AB0"/>
    <w:rsid w:val="0011647F"/>
    <w:rsid w:val="00125377"/>
    <w:rsid w:val="001347CC"/>
    <w:rsid w:val="001423C9"/>
    <w:rsid w:val="0015009F"/>
    <w:rsid w:val="00150FA7"/>
    <w:rsid w:val="0017180E"/>
    <w:rsid w:val="0017447B"/>
    <w:rsid w:val="00177E31"/>
    <w:rsid w:val="001930D9"/>
    <w:rsid w:val="0019421B"/>
    <w:rsid w:val="0019679B"/>
    <w:rsid w:val="00196C44"/>
    <w:rsid w:val="001A0021"/>
    <w:rsid w:val="001A19C9"/>
    <w:rsid w:val="001A37E7"/>
    <w:rsid w:val="001A40AE"/>
    <w:rsid w:val="001A52F8"/>
    <w:rsid w:val="001A73C1"/>
    <w:rsid w:val="001B2727"/>
    <w:rsid w:val="001C1091"/>
    <w:rsid w:val="001C264E"/>
    <w:rsid w:val="001D14DC"/>
    <w:rsid w:val="001E0056"/>
    <w:rsid w:val="001E231B"/>
    <w:rsid w:val="001F4BBB"/>
    <w:rsid w:val="002123C7"/>
    <w:rsid w:val="0021587E"/>
    <w:rsid w:val="00221269"/>
    <w:rsid w:val="00241575"/>
    <w:rsid w:val="002652B8"/>
    <w:rsid w:val="002B11DA"/>
    <w:rsid w:val="002B5296"/>
    <w:rsid w:val="002B68F7"/>
    <w:rsid w:val="002B6ABD"/>
    <w:rsid w:val="002C1299"/>
    <w:rsid w:val="002C3470"/>
    <w:rsid w:val="002D39C0"/>
    <w:rsid w:val="002F27B3"/>
    <w:rsid w:val="002F4EB8"/>
    <w:rsid w:val="002F5BD3"/>
    <w:rsid w:val="002F6C79"/>
    <w:rsid w:val="0031391F"/>
    <w:rsid w:val="00317EEC"/>
    <w:rsid w:val="00320550"/>
    <w:rsid w:val="003642E6"/>
    <w:rsid w:val="003660E1"/>
    <w:rsid w:val="00370C16"/>
    <w:rsid w:val="00370D2C"/>
    <w:rsid w:val="00387A74"/>
    <w:rsid w:val="003945EF"/>
    <w:rsid w:val="003956C7"/>
    <w:rsid w:val="003A4017"/>
    <w:rsid w:val="003C0201"/>
    <w:rsid w:val="00404031"/>
    <w:rsid w:val="0040683A"/>
    <w:rsid w:val="0042679E"/>
    <w:rsid w:val="00452788"/>
    <w:rsid w:val="00457369"/>
    <w:rsid w:val="00463F78"/>
    <w:rsid w:val="0047400C"/>
    <w:rsid w:val="00474319"/>
    <w:rsid w:val="00476A5C"/>
    <w:rsid w:val="0048658A"/>
    <w:rsid w:val="004B46D0"/>
    <w:rsid w:val="004C2B28"/>
    <w:rsid w:val="004E66D2"/>
    <w:rsid w:val="00505071"/>
    <w:rsid w:val="005108B2"/>
    <w:rsid w:val="00533228"/>
    <w:rsid w:val="0053709F"/>
    <w:rsid w:val="005527FB"/>
    <w:rsid w:val="00555F31"/>
    <w:rsid w:val="00567A2D"/>
    <w:rsid w:val="005738F8"/>
    <w:rsid w:val="00575C4B"/>
    <w:rsid w:val="00576888"/>
    <w:rsid w:val="00580F7C"/>
    <w:rsid w:val="00583728"/>
    <w:rsid w:val="005A44D2"/>
    <w:rsid w:val="005B69EA"/>
    <w:rsid w:val="005C7A26"/>
    <w:rsid w:val="005C7CE2"/>
    <w:rsid w:val="005C7E51"/>
    <w:rsid w:val="005E26E9"/>
    <w:rsid w:val="005E359F"/>
    <w:rsid w:val="005F17BC"/>
    <w:rsid w:val="005F3E38"/>
    <w:rsid w:val="005F472F"/>
    <w:rsid w:val="006045C7"/>
    <w:rsid w:val="00604BB1"/>
    <w:rsid w:val="0060715B"/>
    <w:rsid w:val="0060738D"/>
    <w:rsid w:val="00624271"/>
    <w:rsid w:val="0062627E"/>
    <w:rsid w:val="006368FE"/>
    <w:rsid w:val="00641F31"/>
    <w:rsid w:val="00644861"/>
    <w:rsid w:val="00665151"/>
    <w:rsid w:val="006716CB"/>
    <w:rsid w:val="00671F49"/>
    <w:rsid w:val="006747FF"/>
    <w:rsid w:val="00687E06"/>
    <w:rsid w:val="00691402"/>
    <w:rsid w:val="006932FB"/>
    <w:rsid w:val="006B0BBB"/>
    <w:rsid w:val="006E1569"/>
    <w:rsid w:val="006F3F14"/>
    <w:rsid w:val="00710841"/>
    <w:rsid w:val="00726801"/>
    <w:rsid w:val="00737866"/>
    <w:rsid w:val="007404DB"/>
    <w:rsid w:val="007531FC"/>
    <w:rsid w:val="00762E19"/>
    <w:rsid w:val="007647CD"/>
    <w:rsid w:val="00767CD5"/>
    <w:rsid w:val="0077702C"/>
    <w:rsid w:val="00780E4C"/>
    <w:rsid w:val="00785D4F"/>
    <w:rsid w:val="0079172E"/>
    <w:rsid w:val="007A280B"/>
    <w:rsid w:val="007B2C67"/>
    <w:rsid w:val="007B5C6C"/>
    <w:rsid w:val="007C50CB"/>
    <w:rsid w:val="007E5A41"/>
    <w:rsid w:val="00804A18"/>
    <w:rsid w:val="00824B81"/>
    <w:rsid w:val="00827B18"/>
    <w:rsid w:val="00843025"/>
    <w:rsid w:val="00891E95"/>
    <w:rsid w:val="008A3675"/>
    <w:rsid w:val="008A751D"/>
    <w:rsid w:val="008A7EC5"/>
    <w:rsid w:val="008B1CFF"/>
    <w:rsid w:val="008B6E4E"/>
    <w:rsid w:val="008D647D"/>
    <w:rsid w:val="00916FA7"/>
    <w:rsid w:val="00920F64"/>
    <w:rsid w:val="0092426F"/>
    <w:rsid w:val="009275BB"/>
    <w:rsid w:val="009323B5"/>
    <w:rsid w:val="00932A02"/>
    <w:rsid w:val="00944D41"/>
    <w:rsid w:val="00946940"/>
    <w:rsid w:val="00947CD9"/>
    <w:rsid w:val="00951556"/>
    <w:rsid w:val="0095278B"/>
    <w:rsid w:val="00953A28"/>
    <w:rsid w:val="00957265"/>
    <w:rsid w:val="009667A0"/>
    <w:rsid w:val="009744A0"/>
    <w:rsid w:val="009B16F0"/>
    <w:rsid w:val="009D707A"/>
    <w:rsid w:val="009E685E"/>
    <w:rsid w:val="009F1CBD"/>
    <w:rsid w:val="00A04F82"/>
    <w:rsid w:val="00A14285"/>
    <w:rsid w:val="00A34361"/>
    <w:rsid w:val="00A35641"/>
    <w:rsid w:val="00A501A9"/>
    <w:rsid w:val="00A52510"/>
    <w:rsid w:val="00A73D6B"/>
    <w:rsid w:val="00A75558"/>
    <w:rsid w:val="00A84A78"/>
    <w:rsid w:val="00A9583D"/>
    <w:rsid w:val="00AA536D"/>
    <w:rsid w:val="00AA62B0"/>
    <w:rsid w:val="00AB481A"/>
    <w:rsid w:val="00AB5589"/>
    <w:rsid w:val="00AD2AC2"/>
    <w:rsid w:val="00AD44F9"/>
    <w:rsid w:val="00AD79BB"/>
    <w:rsid w:val="00B12789"/>
    <w:rsid w:val="00B22E58"/>
    <w:rsid w:val="00B26F0D"/>
    <w:rsid w:val="00B406DE"/>
    <w:rsid w:val="00B50972"/>
    <w:rsid w:val="00B70F6B"/>
    <w:rsid w:val="00B71C7E"/>
    <w:rsid w:val="00B94991"/>
    <w:rsid w:val="00BA39C7"/>
    <w:rsid w:val="00BB59C0"/>
    <w:rsid w:val="00BC6007"/>
    <w:rsid w:val="00BD468F"/>
    <w:rsid w:val="00BE2F07"/>
    <w:rsid w:val="00BF0AE9"/>
    <w:rsid w:val="00C02BB9"/>
    <w:rsid w:val="00C06469"/>
    <w:rsid w:val="00C322D5"/>
    <w:rsid w:val="00C61C46"/>
    <w:rsid w:val="00C838D1"/>
    <w:rsid w:val="00C83B40"/>
    <w:rsid w:val="00CE4917"/>
    <w:rsid w:val="00D05425"/>
    <w:rsid w:val="00D062EC"/>
    <w:rsid w:val="00D12E3F"/>
    <w:rsid w:val="00D13BCF"/>
    <w:rsid w:val="00D16952"/>
    <w:rsid w:val="00D60FE8"/>
    <w:rsid w:val="00D615B8"/>
    <w:rsid w:val="00D619B3"/>
    <w:rsid w:val="00D67068"/>
    <w:rsid w:val="00D95FC4"/>
    <w:rsid w:val="00DC3B5B"/>
    <w:rsid w:val="00DC5AE3"/>
    <w:rsid w:val="00DD52C5"/>
    <w:rsid w:val="00DE608B"/>
    <w:rsid w:val="00DF0603"/>
    <w:rsid w:val="00E20B5A"/>
    <w:rsid w:val="00E34622"/>
    <w:rsid w:val="00E42C38"/>
    <w:rsid w:val="00E468D4"/>
    <w:rsid w:val="00E60FE0"/>
    <w:rsid w:val="00E61140"/>
    <w:rsid w:val="00E61F59"/>
    <w:rsid w:val="00E828D7"/>
    <w:rsid w:val="00EC0E30"/>
    <w:rsid w:val="00EC0E96"/>
    <w:rsid w:val="00EC2949"/>
    <w:rsid w:val="00EE48FA"/>
    <w:rsid w:val="00EF1475"/>
    <w:rsid w:val="00EF1D37"/>
    <w:rsid w:val="00EF25B6"/>
    <w:rsid w:val="00EF457F"/>
    <w:rsid w:val="00F01D68"/>
    <w:rsid w:val="00F03E64"/>
    <w:rsid w:val="00F06D75"/>
    <w:rsid w:val="00F15510"/>
    <w:rsid w:val="00F307B6"/>
    <w:rsid w:val="00F47E9C"/>
    <w:rsid w:val="00F53E19"/>
    <w:rsid w:val="00F53F06"/>
    <w:rsid w:val="00F620D1"/>
    <w:rsid w:val="00F674E8"/>
    <w:rsid w:val="00F80A2E"/>
    <w:rsid w:val="00F82897"/>
    <w:rsid w:val="00F956D4"/>
    <w:rsid w:val="00F96809"/>
    <w:rsid w:val="00FC434A"/>
    <w:rsid w:val="00FC4DED"/>
    <w:rsid w:val="00FD52BD"/>
    <w:rsid w:val="00FE0286"/>
    <w:rsid w:val="00FE7343"/>
    <w:rsid w:val="00FE743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A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8D647D"/>
    <w:rPr>
      <w:sz w:val="20"/>
      <w:szCs w:val="20"/>
    </w:rPr>
  </w:style>
  <w:style w:type="character" w:customStyle="1" w:styleId="TextodenotaderodapCarcter">
    <w:name w:val="Texto de nota de rodapé Carácter"/>
    <w:basedOn w:val="Tipodeletrapredefinidodopargrafo"/>
    <w:link w:val="Textodenotaderodap"/>
    <w:uiPriority w:val="99"/>
    <w:semiHidden/>
    <w:rsid w:val="008D647D"/>
    <w:rPr>
      <w:lang w:eastAsia="en-US"/>
    </w:rPr>
  </w:style>
  <w:style w:type="character" w:styleId="Refdenotaderodap">
    <w:name w:val="footnote reference"/>
    <w:basedOn w:val="Tipodeletrapredefinidodopargrafo"/>
    <w:uiPriority w:val="99"/>
    <w:semiHidden/>
    <w:unhideWhenUsed/>
    <w:rsid w:val="008D647D"/>
    <w:rPr>
      <w:vertAlign w:val="superscript"/>
    </w:rPr>
  </w:style>
  <w:style w:type="paragraph" w:styleId="PargrafodaLista">
    <w:name w:val="List Paragraph"/>
    <w:basedOn w:val="Normal"/>
    <w:uiPriority w:val="34"/>
    <w:qFormat/>
    <w:rsid w:val="00DF0603"/>
    <w:pPr>
      <w:ind w:left="720"/>
      <w:contextualSpacing/>
    </w:pPr>
  </w:style>
  <w:style w:type="paragraph" w:styleId="Cabealho">
    <w:name w:val="header"/>
    <w:basedOn w:val="Normal"/>
    <w:link w:val="CabealhoCarcter"/>
    <w:uiPriority w:val="99"/>
    <w:semiHidden/>
    <w:unhideWhenUsed/>
    <w:rsid w:val="00A3564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35641"/>
    <w:rPr>
      <w:sz w:val="22"/>
      <w:szCs w:val="22"/>
      <w:lang w:eastAsia="en-US"/>
    </w:rPr>
  </w:style>
  <w:style w:type="paragraph" w:styleId="Rodap">
    <w:name w:val="footer"/>
    <w:basedOn w:val="Normal"/>
    <w:link w:val="RodapCarcter"/>
    <w:uiPriority w:val="99"/>
    <w:unhideWhenUsed/>
    <w:rsid w:val="00A3564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35641"/>
    <w:rPr>
      <w:sz w:val="22"/>
      <w:szCs w:val="22"/>
      <w:lang w:eastAsia="en-US"/>
    </w:rPr>
  </w:style>
  <w:style w:type="table" w:styleId="Tabelacomgrelha">
    <w:name w:val="Table Grid"/>
    <w:basedOn w:val="Tabelanormal"/>
    <w:uiPriority w:val="59"/>
    <w:rsid w:val="00B509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AA536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A53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9773978">
      <w:bodyDiv w:val="1"/>
      <w:marLeft w:val="0"/>
      <w:marRight w:val="0"/>
      <w:marTop w:val="0"/>
      <w:marBottom w:val="0"/>
      <w:divBdr>
        <w:top w:val="none" w:sz="0" w:space="0" w:color="auto"/>
        <w:left w:val="none" w:sz="0" w:space="0" w:color="auto"/>
        <w:bottom w:val="none" w:sz="0" w:space="0" w:color="auto"/>
        <w:right w:val="none" w:sz="0" w:space="0" w:color="auto"/>
      </w:divBdr>
    </w:div>
    <w:div w:id="547257854">
      <w:bodyDiv w:val="1"/>
      <w:marLeft w:val="0"/>
      <w:marRight w:val="0"/>
      <w:marTop w:val="0"/>
      <w:marBottom w:val="0"/>
      <w:divBdr>
        <w:top w:val="none" w:sz="0" w:space="0" w:color="auto"/>
        <w:left w:val="none" w:sz="0" w:space="0" w:color="auto"/>
        <w:bottom w:val="none" w:sz="0" w:space="0" w:color="auto"/>
        <w:right w:val="none" w:sz="0" w:space="0" w:color="auto"/>
      </w:divBdr>
    </w:div>
    <w:div w:id="605622467">
      <w:bodyDiv w:val="1"/>
      <w:marLeft w:val="0"/>
      <w:marRight w:val="0"/>
      <w:marTop w:val="0"/>
      <w:marBottom w:val="0"/>
      <w:divBdr>
        <w:top w:val="none" w:sz="0" w:space="0" w:color="auto"/>
        <w:left w:val="none" w:sz="0" w:space="0" w:color="auto"/>
        <w:bottom w:val="none" w:sz="0" w:space="0" w:color="auto"/>
        <w:right w:val="none" w:sz="0" w:space="0" w:color="auto"/>
      </w:divBdr>
    </w:div>
    <w:div w:id="634020672">
      <w:bodyDiv w:val="1"/>
      <w:marLeft w:val="0"/>
      <w:marRight w:val="0"/>
      <w:marTop w:val="0"/>
      <w:marBottom w:val="0"/>
      <w:divBdr>
        <w:top w:val="none" w:sz="0" w:space="0" w:color="auto"/>
        <w:left w:val="none" w:sz="0" w:space="0" w:color="auto"/>
        <w:bottom w:val="none" w:sz="0" w:space="0" w:color="auto"/>
        <w:right w:val="none" w:sz="0" w:space="0" w:color="auto"/>
      </w:divBdr>
    </w:div>
    <w:div w:id="826213406">
      <w:bodyDiv w:val="1"/>
      <w:marLeft w:val="0"/>
      <w:marRight w:val="0"/>
      <w:marTop w:val="0"/>
      <w:marBottom w:val="0"/>
      <w:divBdr>
        <w:top w:val="none" w:sz="0" w:space="0" w:color="auto"/>
        <w:left w:val="none" w:sz="0" w:space="0" w:color="auto"/>
        <w:bottom w:val="none" w:sz="0" w:space="0" w:color="auto"/>
        <w:right w:val="none" w:sz="0" w:space="0" w:color="auto"/>
      </w:divBdr>
    </w:div>
    <w:div w:id="1045368910">
      <w:bodyDiv w:val="1"/>
      <w:marLeft w:val="0"/>
      <w:marRight w:val="0"/>
      <w:marTop w:val="0"/>
      <w:marBottom w:val="0"/>
      <w:divBdr>
        <w:top w:val="none" w:sz="0" w:space="0" w:color="auto"/>
        <w:left w:val="none" w:sz="0" w:space="0" w:color="auto"/>
        <w:bottom w:val="none" w:sz="0" w:space="0" w:color="auto"/>
        <w:right w:val="none" w:sz="0" w:space="0" w:color="auto"/>
      </w:divBdr>
    </w:div>
    <w:div w:id="1698387090">
      <w:bodyDiv w:val="1"/>
      <w:marLeft w:val="0"/>
      <w:marRight w:val="0"/>
      <w:marTop w:val="0"/>
      <w:marBottom w:val="0"/>
      <w:divBdr>
        <w:top w:val="none" w:sz="0" w:space="0" w:color="auto"/>
        <w:left w:val="none" w:sz="0" w:space="0" w:color="auto"/>
        <w:bottom w:val="none" w:sz="0" w:space="0" w:color="auto"/>
        <w:right w:val="none" w:sz="0" w:space="0" w:color="auto"/>
      </w:divBdr>
    </w:div>
    <w:div w:id="1822231121">
      <w:bodyDiv w:val="1"/>
      <w:marLeft w:val="0"/>
      <w:marRight w:val="0"/>
      <w:marTop w:val="0"/>
      <w:marBottom w:val="0"/>
      <w:divBdr>
        <w:top w:val="none" w:sz="0" w:space="0" w:color="auto"/>
        <w:left w:val="none" w:sz="0" w:space="0" w:color="auto"/>
        <w:bottom w:val="none" w:sz="0" w:space="0" w:color="auto"/>
        <w:right w:val="none" w:sz="0" w:space="0" w:color="auto"/>
      </w:divBdr>
    </w:div>
    <w:div w:id="1902055111">
      <w:bodyDiv w:val="1"/>
      <w:marLeft w:val="0"/>
      <w:marRight w:val="0"/>
      <w:marTop w:val="0"/>
      <w:marBottom w:val="0"/>
      <w:divBdr>
        <w:top w:val="none" w:sz="0" w:space="0" w:color="auto"/>
        <w:left w:val="none" w:sz="0" w:space="0" w:color="auto"/>
        <w:bottom w:val="none" w:sz="0" w:space="0" w:color="auto"/>
        <w:right w:val="none" w:sz="0" w:space="0" w:color="auto"/>
      </w:divBdr>
    </w:div>
    <w:div w:id="21378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6CEE5-7406-4E2D-82FF-40930B1F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200</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MNE</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Vale de Gato Santos Rodrigues</dc:creator>
  <cp:lastModifiedBy>joao.ciottaneves</cp:lastModifiedBy>
  <cp:revision>151</cp:revision>
  <cp:lastPrinted>2019-10-28T17:17:00Z</cp:lastPrinted>
  <dcterms:created xsi:type="dcterms:W3CDTF">2019-09-12T13:57:00Z</dcterms:created>
  <dcterms:modified xsi:type="dcterms:W3CDTF">2019-10-28T17:27:00Z</dcterms:modified>
</cp:coreProperties>
</file>